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0C" w:rsidRPr="00784555" w:rsidRDefault="00CE2D0C" w:rsidP="00784555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:rsidR="00201FA7" w:rsidRDefault="00CE2D0C" w:rsidP="00CA6CE3">
      <w:pPr>
        <w:jc w:val="center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-281305</wp:posOffset>
            </wp:positionV>
            <wp:extent cx="742950" cy="680720"/>
            <wp:effectExtent l="0" t="0" r="0" b="5080"/>
            <wp:wrapTight wrapText="bothSides">
              <wp:wrapPolygon edited="0">
                <wp:start x="0" y="0"/>
                <wp:lineTo x="0" y="21157"/>
                <wp:lineTo x="21046" y="21157"/>
                <wp:lineTo x="21046" y="0"/>
                <wp:lineTo x="0" y="0"/>
              </wp:wrapPolygon>
            </wp:wrapTight>
            <wp:docPr id="3" name="Picture 3" descr="http://www.picturesof.net/_images_300/school_student_listening_intently_to_the_teacher_royalty_free_080812-038571-898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icturesof.net/_images_300/school_student_listening_intently_to_the_teacher_royalty_free_080812-038571-8980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 l="11554" r="35112" b="63333"/>
                    <a:stretch/>
                  </pic:blipFill>
                  <pic:spPr bwMode="auto">
                    <a:xfrm>
                      <a:off x="0" y="0"/>
                      <a:ext cx="74295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-381000</wp:posOffset>
            </wp:positionV>
            <wp:extent cx="819150" cy="771525"/>
            <wp:effectExtent l="0" t="0" r="0" b="9525"/>
            <wp:wrapTight wrapText="bothSides">
              <wp:wrapPolygon edited="0">
                <wp:start x="10047" y="0"/>
                <wp:lineTo x="4019" y="2667"/>
                <wp:lineTo x="2512" y="4267"/>
                <wp:lineTo x="3516" y="8533"/>
                <wp:lineTo x="0" y="9600"/>
                <wp:lineTo x="0" y="13867"/>
                <wp:lineTo x="2009" y="17067"/>
                <wp:lineTo x="2512" y="21333"/>
                <wp:lineTo x="13060" y="21333"/>
                <wp:lineTo x="13563" y="21333"/>
                <wp:lineTo x="16577" y="17067"/>
                <wp:lineTo x="21098" y="17067"/>
                <wp:lineTo x="21098" y="4267"/>
                <wp:lineTo x="17079" y="0"/>
                <wp:lineTo x="10047" y="0"/>
              </wp:wrapPolygon>
            </wp:wrapTight>
            <wp:docPr id="2" name="Picture 2" descr="http://www.christart.com/IMAGES-art9ab/clipart/2185/liste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hristart.com/IMAGES-art9ab/clipart/2185/listenin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 b="43495"/>
                    <a:stretch/>
                  </pic:blipFill>
                  <pic:spPr bwMode="auto">
                    <a:xfrm>
                      <a:off x="0" y="0"/>
                      <a:ext cx="819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/>
                      </a:ext>
                    </a:extLst>
                  </pic:spPr>
                </pic:pic>
              </a:graphicData>
            </a:graphic>
          </wp:anchor>
        </w:drawing>
      </w:r>
      <w:r w:rsidR="00CA6CE3" w:rsidRPr="00CA6CE3">
        <w:rPr>
          <w:b/>
        </w:rPr>
        <w:t>Primary Listening Skills Checklist</w:t>
      </w:r>
    </w:p>
    <w:p w:rsidR="0098770E" w:rsidRDefault="0098770E" w:rsidP="0098770E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279"/>
        <w:gridCol w:w="1915"/>
        <w:gridCol w:w="1915"/>
        <w:gridCol w:w="1915"/>
        <w:gridCol w:w="1916"/>
      </w:tblGrid>
      <w:tr w:rsidR="0098770E">
        <w:tc>
          <w:tcPr>
            <w:tcW w:w="2279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  <w:tc>
          <w:tcPr>
            <w:tcW w:w="1824" w:type="dxa"/>
          </w:tcPr>
          <w:p w:rsidR="00CA6CE3" w:rsidRDefault="0098770E" w:rsidP="00CA6CE3">
            <w:pPr>
              <w:jc w:val="center"/>
              <w:rPr>
                <w:b/>
              </w:rPr>
            </w:pPr>
            <w:r>
              <w:rPr>
                <w:b/>
              </w:rPr>
              <w:t xml:space="preserve">Rarely </w:t>
            </w:r>
          </w:p>
        </w:tc>
        <w:tc>
          <w:tcPr>
            <w:tcW w:w="1824" w:type="dxa"/>
          </w:tcPr>
          <w:p w:rsidR="00CA6CE3" w:rsidRDefault="0098770E" w:rsidP="00CA6CE3">
            <w:pPr>
              <w:jc w:val="center"/>
              <w:rPr>
                <w:b/>
              </w:rPr>
            </w:pPr>
            <w:r>
              <w:rPr>
                <w:b/>
              </w:rPr>
              <w:t>Sometimes</w:t>
            </w:r>
          </w:p>
        </w:tc>
        <w:tc>
          <w:tcPr>
            <w:tcW w:w="1824" w:type="dxa"/>
          </w:tcPr>
          <w:p w:rsidR="00CA6CE3" w:rsidRDefault="0098770E" w:rsidP="00CA6CE3">
            <w:pPr>
              <w:jc w:val="center"/>
              <w:rPr>
                <w:b/>
              </w:rPr>
            </w:pPr>
            <w:r>
              <w:rPr>
                <w:b/>
              </w:rPr>
              <w:t xml:space="preserve">Usually </w:t>
            </w:r>
          </w:p>
        </w:tc>
        <w:tc>
          <w:tcPr>
            <w:tcW w:w="1825" w:type="dxa"/>
          </w:tcPr>
          <w:p w:rsidR="00CA6CE3" w:rsidRDefault="0098770E" w:rsidP="00CA6CE3">
            <w:pPr>
              <w:jc w:val="center"/>
              <w:rPr>
                <w:b/>
              </w:rPr>
            </w:pPr>
            <w:r>
              <w:rPr>
                <w:b/>
              </w:rPr>
              <w:t>Consistently</w:t>
            </w:r>
          </w:p>
        </w:tc>
      </w:tr>
      <w:tr w:rsidR="0098770E">
        <w:tc>
          <w:tcPr>
            <w:tcW w:w="1915" w:type="dxa"/>
          </w:tcPr>
          <w:p w:rsidR="00CA6CE3" w:rsidRPr="0098770E" w:rsidRDefault="00CA6CE3" w:rsidP="0098770E">
            <w:pPr>
              <w:jc w:val="center"/>
              <w:rPr>
                <w:b/>
              </w:rPr>
            </w:pPr>
            <w:r w:rsidRPr="0098770E">
              <w:rPr>
                <w:b/>
              </w:rPr>
              <w:t>Listens  effectively one-to-one</w:t>
            </w:r>
          </w:p>
        </w:tc>
        <w:tc>
          <w:tcPr>
            <w:tcW w:w="1915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</w:tr>
      <w:tr w:rsidR="0098770E">
        <w:tc>
          <w:tcPr>
            <w:tcW w:w="2279" w:type="dxa"/>
          </w:tcPr>
          <w:p w:rsidR="00CA6CE3" w:rsidRPr="0098770E" w:rsidRDefault="00CA6CE3" w:rsidP="0098770E">
            <w:pPr>
              <w:jc w:val="center"/>
              <w:rPr>
                <w:b/>
              </w:rPr>
            </w:pPr>
            <w:r w:rsidRPr="0098770E">
              <w:rPr>
                <w:b/>
              </w:rPr>
              <w:t>Listens effectively in small groups</w:t>
            </w: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  <w:tc>
          <w:tcPr>
            <w:tcW w:w="1825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</w:tr>
      <w:tr w:rsidR="0098770E">
        <w:tc>
          <w:tcPr>
            <w:tcW w:w="2279" w:type="dxa"/>
          </w:tcPr>
          <w:p w:rsidR="00CA6CE3" w:rsidRPr="0098770E" w:rsidRDefault="0098770E" w:rsidP="0098770E">
            <w:pPr>
              <w:jc w:val="center"/>
              <w:rPr>
                <w:b/>
              </w:rPr>
            </w:pPr>
            <w:r w:rsidRPr="0098770E">
              <w:rPr>
                <w:b/>
              </w:rPr>
              <w:t xml:space="preserve">Recognizes </w:t>
            </w:r>
            <w:r w:rsidR="00CA6CE3" w:rsidRPr="0098770E">
              <w:rPr>
                <w:b/>
              </w:rPr>
              <w:t>classroom cues for listening</w:t>
            </w: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  <w:tc>
          <w:tcPr>
            <w:tcW w:w="1825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</w:tr>
      <w:tr w:rsidR="0098770E">
        <w:tc>
          <w:tcPr>
            <w:tcW w:w="2279" w:type="dxa"/>
          </w:tcPr>
          <w:p w:rsidR="00CA6CE3" w:rsidRPr="0098770E" w:rsidRDefault="00CA6CE3" w:rsidP="0098770E">
            <w:pPr>
              <w:jc w:val="center"/>
              <w:rPr>
                <w:b/>
              </w:rPr>
            </w:pPr>
            <w:r w:rsidRPr="0098770E">
              <w:rPr>
                <w:b/>
              </w:rPr>
              <w:t>Re</w:t>
            </w:r>
            <w:r w:rsidR="0098770E" w:rsidRPr="0098770E">
              <w:rPr>
                <w:b/>
              </w:rPr>
              <w:t>s</w:t>
            </w:r>
            <w:r w:rsidRPr="0098770E">
              <w:rPr>
                <w:b/>
              </w:rPr>
              <w:t>ponds to cues to focus listening behaviour</w:t>
            </w: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  <w:tc>
          <w:tcPr>
            <w:tcW w:w="1825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</w:tr>
      <w:tr w:rsidR="0098770E">
        <w:tc>
          <w:tcPr>
            <w:tcW w:w="2279" w:type="dxa"/>
          </w:tcPr>
          <w:p w:rsidR="00CA6CE3" w:rsidRPr="0098770E" w:rsidRDefault="00CA6CE3" w:rsidP="0098770E">
            <w:pPr>
              <w:jc w:val="center"/>
              <w:rPr>
                <w:b/>
              </w:rPr>
            </w:pPr>
            <w:r w:rsidRPr="0098770E">
              <w:rPr>
                <w:b/>
              </w:rPr>
              <w:t>Identifies purpose for listening</w:t>
            </w: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  <w:p w:rsidR="0098770E" w:rsidRDefault="0098770E" w:rsidP="0098770E">
            <w:pPr>
              <w:rPr>
                <w:b/>
              </w:rPr>
            </w:pP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  <w:tc>
          <w:tcPr>
            <w:tcW w:w="1825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</w:tr>
      <w:tr w:rsidR="0098770E">
        <w:tc>
          <w:tcPr>
            <w:tcW w:w="2279" w:type="dxa"/>
          </w:tcPr>
          <w:p w:rsidR="00CA6CE3" w:rsidRPr="0098770E" w:rsidRDefault="00CA6CE3" w:rsidP="0098770E">
            <w:pPr>
              <w:jc w:val="center"/>
              <w:rPr>
                <w:b/>
              </w:rPr>
            </w:pPr>
            <w:r w:rsidRPr="0098770E">
              <w:rPr>
                <w:b/>
              </w:rPr>
              <w:t>Listens effectively to a story</w:t>
            </w: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  <w:tc>
          <w:tcPr>
            <w:tcW w:w="1825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</w:tr>
      <w:tr w:rsidR="0098770E">
        <w:tc>
          <w:tcPr>
            <w:tcW w:w="2279" w:type="dxa"/>
          </w:tcPr>
          <w:p w:rsidR="00CA6CE3" w:rsidRPr="0098770E" w:rsidRDefault="00CA6CE3" w:rsidP="0098770E">
            <w:pPr>
              <w:jc w:val="center"/>
              <w:rPr>
                <w:b/>
              </w:rPr>
            </w:pPr>
            <w:r w:rsidRPr="0098770E">
              <w:rPr>
                <w:b/>
              </w:rPr>
              <w:t>Listens effectively to follow instructions</w:t>
            </w: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  <w:tc>
          <w:tcPr>
            <w:tcW w:w="1825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</w:tr>
      <w:tr w:rsidR="0098770E">
        <w:tc>
          <w:tcPr>
            <w:tcW w:w="2279" w:type="dxa"/>
          </w:tcPr>
          <w:p w:rsidR="00CA6CE3" w:rsidRPr="0098770E" w:rsidRDefault="00CA6CE3" w:rsidP="0098770E">
            <w:pPr>
              <w:jc w:val="center"/>
              <w:rPr>
                <w:b/>
              </w:rPr>
            </w:pPr>
            <w:r w:rsidRPr="0098770E">
              <w:rPr>
                <w:b/>
              </w:rPr>
              <w:t>Looks at the</w:t>
            </w:r>
            <w:r w:rsidR="0098770E" w:rsidRPr="0098770E">
              <w:rPr>
                <w:b/>
              </w:rPr>
              <w:t xml:space="preserve"> </w:t>
            </w:r>
            <w:r w:rsidRPr="0098770E">
              <w:rPr>
                <w:b/>
              </w:rPr>
              <w:t>speaker when listening</w:t>
            </w: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  <w:tc>
          <w:tcPr>
            <w:tcW w:w="1825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</w:tr>
      <w:tr w:rsidR="0098770E">
        <w:tc>
          <w:tcPr>
            <w:tcW w:w="2279" w:type="dxa"/>
          </w:tcPr>
          <w:p w:rsidR="00CA6CE3" w:rsidRPr="0098770E" w:rsidRDefault="0098770E" w:rsidP="0098770E">
            <w:pPr>
              <w:jc w:val="center"/>
              <w:rPr>
                <w:b/>
              </w:rPr>
            </w:pPr>
            <w:r w:rsidRPr="0098770E">
              <w:rPr>
                <w:b/>
              </w:rPr>
              <w:t>Responds appropriately(nodding head, offering comment or question</w:t>
            </w: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  <w:p w:rsidR="0098770E" w:rsidRDefault="0098770E" w:rsidP="00CA6CE3">
            <w:pPr>
              <w:jc w:val="center"/>
              <w:rPr>
                <w:b/>
              </w:rPr>
            </w:pPr>
          </w:p>
          <w:p w:rsidR="0098770E" w:rsidRDefault="0098770E" w:rsidP="0098770E">
            <w:pPr>
              <w:rPr>
                <w:b/>
              </w:rPr>
            </w:pP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  <w:tc>
          <w:tcPr>
            <w:tcW w:w="1824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  <w:tc>
          <w:tcPr>
            <w:tcW w:w="1825" w:type="dxa"/>
          </w:tcPr>
          <w:p w:rsidR="00CA6CE3" w:rsidRDefault="00CA6CE3" w:rsidP="00CA6CE3">
            <w:pPr>
              <w:jc w:val="center"/>
              <w:rPr>
                <w:b/>
              </w:rPr>
            </w:pPr>
          </w:p>
        </w:tc>
      </w:tr>
    </w:tbl>
    <w:p w:rsidR="00CA6CE3" w:rsidRDefault="00CA6CE3" w:rsidP="00CE2D0C">
      <w:pPr>
        <w:rPr>
          <w:b/>
        </w:rPr>
      </w:pPr>
    </w:p>
    <w:p w:rsidR="00CE2D0C" w:rsidRDefault="00CE2D0C" w:rsidP="00CE2D0C">
      <w:pPr>
        <w:rPr>
          <w:b/>
        </w:rPr>
      </w:pPr>
      <w:r>
        <w:rPr>
          <w:b/>
        </w:rPr>
        <w:t>Observation Task/Time</w:t>
      </w:r>
      <w:r w:rsidR="004C0F37">
        <w:rPr>
          <w:b/>
        </w:rPr>
        <w:t xml:space="preserve"> 1. </w:t>
      </w:r>
      <w:r>
        <w:rPr>
          <w:b/>
        </w:rPr>
        <w:t>___________________________________________</w:t>
      </w:r>
      <w:r w:rsidR="004C0F37">
        <w:rPr>
          <w:b/>
        </w:rPr>
        <w:t>______________________</w:t>
      </w:r>
    </w:p>
    <w:p w:rsidR="00CE2D0C" w:rsidRDefault="004C0F37" w:rsidP="00CE2D0C">
      <w:pPr>
        <w:rPr>
          <w:b/>
        </w:rPr>
      </w:pPr>
      <w:r>
        <w:rPr>
          <w:b/>
        </w:rPr>
        <w:t>2.</w:t>
      </w:r>
      <w:r w:rsidR="00CE2D0C">
        <w:rPr>
          <w:b/>
        </w:rPr>
        <w:t>______________________________________________________________________</w:t>
      </w:r>
      <w:r>
        <w:rPr>
          <w:b/>
        </w:rPr>
        <w:t>_______________</w:t>
      </w:r>
      <w:r w:rsidR="00CE2D0C">
        <w:rPr>
          <w:b/>
        </w:rPr>
        <w:t>_</w:t>
      </w:r>
    </w:p>
    <w:p w:rsidR="00784555" w:rsidRDefault="004C0F37" w:rsidP="00CE2D0C">
      <w:pPr>
        <w:rPr>
          <w:b/>
        </w:rPr>
      </w:pPr>
      <w:r>
        <w:rPr>
          <w:b/>
        </w:rPr>
        <w:t>3._____________________________________________________________________________________</w:t>
      </w:r>
      <w:bookmarkStart w:id="0" w:name="_GoBack"/>
      <w:bookmarkEnd w:id="0"/>
    </w:p>
    <w:p w:rsidR="00784555" w:rsidRDefault="00784555" w:rsidP="00CE2D0C">
      <w:pPr>
        <w:rPr>
          <w:b/>
        </w:rPr>
      </w:pPr>
    </w:p>
    <w:p w:rsidR="004C0F37" w:rsidRPr="00B01DF9" w:rsidRDefault="00B01DF9" w:rsidP="00B01DF9">
      <w:pPr>
        <w:pStyle w:val="Footer"/>
        <w:jc w:val="center"/>
        <w:rPr>
          <w:rFonts w:ascii="Helvetica Neue" w:hAnsi="Helvetica Neue"/>
          <w:color w:val="1F497D" w:themeColor="text2"/>
          <w:sz w:val="24"/>
        </w:rPr>
      </w:pPr>
      <w:r w:rsidRPr="000E0E78">
        <w:rPr>
          <w:rFonts w:ascii="Helvetica Neue" w:hAnsi="Helvetica Neue"/>
          <w:color w:val="1F497D" w:themeColor="text2"/>
          <w:sz w:val="24"/>
        </w:rPr>
        <w:t>www.etfoassessment.ca</w:t>
      </w:r>
    </w:p>
    <w:sectPr w:rsidR="004C0F37" w:rsidRPr="00B01DF9" w:rsidSect="00B01DF9">
      <w:pgSz w:w="12240" w:h="15840"/>
      <w:pgMar w:top="709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savePreviewPicture/>
  <w:compat/>
  <w:rsids>
    <w:rsidRoot w:val="00CA6CE3"/>
    <w:rsid w:val="00201FA7"/>
    <w:rsid w:val="002B7F07"/>
    <w:rsid w:val="004C0F37"/>
    <w:rsid w:val="006C4109"/>
    <w:rsid w:val="00784555"/>
    <w:rsid w:val="00831231"/>
    <w:rsid w:val="0098770E"/>
    <w:rsid w:val="00A90F20"/>
    <w:rsid w:val="00B01DF9"/>
    <w:rsid w:val="00CA6CE3"/>
    <w:rsid w:val="00CE2D0C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F0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CA6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D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C41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01D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1DF9"/>
  </w:style>
  <w:style w:type="paragraph" w:styleId="Footer">
    <w:name w:val="footer"/>
    <w:basedOn w:val="Normal"/>
    <w:link w:val="FooterChar"/>
    <w:uiPriority w:val="99"/>
    <w:unhideWhenUsed/>
    <w:rsid w:val="00B01D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3</cp:revision>
  <cp:lastPrinted>2014-03-07T21:47:00Z</cp:lastPrinted>
  <dcterms:created xsi:type="dcterms:W3CDTF">2014-03-07T21:47:00Z</dcterms:created>
  <dcterms:modified xsi:type="dcterms:W3CDTF">2014-10-14T18:49:00Z</dcterms:modified>
</cp:coreProperties>
</file>